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96" w:rsidRPr="009516F0" w:rsidRDefault="00C30F96">
      <w:pPr>
        <w:jc w:val="center"/>
        <w:rPr>
          <w:lang w:val="uk-UA"/>
        </w:rPr>
      </w:pPr>
      <w:r>
        <w:rPr>
          <w:lang w:val="uk-UA"/>
        </w:rPr>
        <w:t>СПРОЩЕНА ТАБЛИЦЯ ЗМІН ДО ЗАКОНУ</w:t>
      </w:r>
      <w:r>
        <w:t xml:space="preserve"> </w:t>
      </w:r>
      <w:r>
        <w:rPr>
          <w:lang w:val="uk-UA"/>
        </w:rPr>
        <w:t xml:space="preserve">ПРО </w:t>
      </w:r>
      <w:r>
        <w:t>ДЕРЖАВН</w:t>
      </w:r>
      <w:r>
        <w:rPr>
          <w:lang w:val="uk-UA"/>
        </w:rPr>
        <w:t>І</w:t>
      </w:r>
      <w:r>
        <w:t xml:space="preserve"> ЗАКУПІВ</w:t>
      </w:r>
      <w:r>
        <w:rPr>
          <w:lang w:val="uk-UA"/>
        </w:rPr>
        <w:t>ЛІ</w:t>
      </w:r>
    </w:p>
    <w:p w:rsidR="00C30F96" w:rsidRDefault="00C30F96">
      <w:pPr>
        <w:jc w:val="center"/>
      </w:pPr>
    </w:p>
    <w:tbl>
      <w:tblPr>
        <w:tblW w:w="1420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7"/>
        <w:gridCol w:w="6804"/>
        <w:gridCol w:w="6804"/>
      </w:tblGrid>
      <w:tr w:rsidR="00C30F96" w:rsidRPr="00152D9D" w:rsidTr="00DF3182">
        <w:trPr>
          <w:trHeight w:val="2220"/>
        </w:trPr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ІСНУВАЛО У:</w:t>
            </w:r>
          </w:p>
          <w:p w:rsidR="00C30F96" w:rsidRPr="00DF3182" w:rsidRDefault="00C30F96" w:rsidP="00DF3182">
            <w:pPr>
              <w:numPr>
                <w:ilvl w:val="0"/>
                <w:numId w:val="1"/>
              </w:numPr>
              <w:ind w:hanging="360"/>
              <w:contextualSpacing/>
              <w:rPr>
                <w:lang w:val="uk-UA"/>
              </w:rPr>
            </w:pPr>
            <w:r w:rsidRPr="00DF3182">
              <w:rPr>
                <w:lang w:val="uk-UA"/>
              </w:rPr>
              <w:t>ЗАКОНІ ПРО ЗДІЙСНЕННЯ ДЕРЖАВНИХ ЗАКУПІВЕЛЬ;</w:t>
            </w:r>
          </w:p>
          <w:p w:rsidR="00C30F96" w:rsidRPr="00DF3182" w:rsidRDefault="00C30F96" w:rsidP="00DF3182">
            <w:pPr>
              <w:numPr>
                <w:ilvl w:val="0"/>
                <w:numId w:val="1"/>
              </w:numPr>
              <w:ind w:hanging="360"/>
              <w:contextualSpacing/>
              <w:rPr>
                <w:lang w:val="uk-UA"/>
              </w:rPr>
            </w:pPr>
            <w:r w:rsidRPr="00DF3182">
              <w:rPr>
                <w:lang w:val="uk-UA"/>
              </w:rPr>
              <w:t>ЗАКОНІ ПРО ОСОБЛИВОСТІ ЗДІЙСНЕННЯ ЗАКУПІВЕЛЬ В ОКРЕМИХ СФЕРАХ ГОСПОДАРСЬКОЇ ДІЯЛЬНОСТІ;</w:t>
            </w:r>
          </w:p>
          <w:p w:rsidR="00C30F96" w:rsidRPr="00DF3182" w:rsidRDefault="00C30F96" w:rsidP="00DF3182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lang w:val="uk-UA"/>
              </w:rPr>
            </w:pPr>
            <w:r w:rsidRPr="00DF3182">
              <w:rPr>
                <w:lang w:val="uk-UA"/>
              </w:rPr>
              <w:t>ЗАКОНІ ПРО ЗАПОБІГАННЯ КОРУПЦІЇ.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ЗМІНИ</w:t>
            </w:r>
            <w:r>
              <w:rPr>
                <w:b/>
                <w:lang w:val="uk-UA"/>
              </w:rPr>
              <w:t>,</w:t>
            </w:r>
            <w:r w:rsidRPr="00DF3182">
              <w:rPr>
                <w:b/>
                <w:lang w:val="uk-UA"/>
              </w:rPr>
              <w:t xml:space="preserve"> ЯКІ ВНЕСЕНІ* ЗГІДНО З</w:t>
            </w:r>
          </w:p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ЗАКОНОМ від 15.09.2015 року № 679-VIII</w:t>
            </w:r>
          </w:p>
          <w:p w:rsidR="00C30F96" w:rsidRPr="00DF3182" w:rsidRDefault="00C30F96" w:rsidP="00DF3182">
            <w:pPr>
              <w:jc w:val="center"/>
              <w:rPr>
                <w:lang w:val="uk-UA"/>
              </w:rPr>
            </w:pP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*</w:t>
            </w:r>
            <w:r w:rsidRPr="00DF3182">
              <w:rPr>
                <w:i/>
                <w:lang w:val="uk-UA"/>
              </w:rPr>
              <w:t>Закон набирає чинності 30.09.2015 року</w:t>
            </w:r>
            <w:r>
              <w:rPr>
                <w:i/>
                <w:lang w:val="uk-UA"/>
              </w:rPr>
              <w:t xml:space="preserve">, </w:t>
            </w:r>
            <w:r w:rsidRPr="00DF3182">
              <w:rPr>
                <w:i/>
                <w:lang w:val="uk-UA"/>
              </w:rPr>
              <w:t xml:space="preserve">крім абзаців </w:t>
            </w:r>
            <w:hyperlink r:id="rId6" w:anchor="n77">
              <w:r w:rsidRPr="00DF3182">
                <w:rPr>
                  <w:i/>
                  <w:lang w:val="uk-UA"/>
                </w:rPr>
                <w:t>третього</w:t>
              </w:r>
            </w:hyperlink>
            <w:r w:rsidRPr="00DF3182">
              <w:rPr>
                <w:i/>
                <w:lang w:val="uk-UA"/>
              </w:rPr>
              <w:t> та </w:t>
            </w:r>
            <w:hyperlink r:id="rId7" w:anchor="n78">
              <w:r w:rsidRPr="00DF3182">
                <w:rPr>
                  <w:i/>
                  <w:lang w:val="uk-UA"/>
                </w:rPr>
                <w:t>четвертого</w:t>
              </w:r>
            </w:hyperlink>
            <w:r w:rsidRPr="00DF3182">
              <w:rPr>
                <w:i/>
                <w:lang w:val="uk-UA"/>
              </w:rPr>
              <w:t> підпункту 11 пункту 1 розділу I цього Закону, які набирають чинності з моменту початку функціонування Єдиного державного реєстру осіб, які вчинили корупційні або пов’язані з корупцією правопорушення.</w:t>
            </w:r>
          </w:p>
        </w:tc>
      </w:tr>
      <w:tr w:rsidR="00C30F96" w:rsidTr="00DF3182">
        <w:tc>
          <w:tcPr>
            <w:tcW w:w="14205" w:type="dxa"/>
            <w:gridSpan w:val="3"/>
            <w:shd w:val="clear" w:color="auto" w:fill="FFC000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</w:p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i/>
                <w:lang w:val="uk-UA"/>
              </w:rPr>
              <w:t>ЗАКОН ПРО ЗДІЙСНЕННЯ ДЕРЖАВНИХ ЗАКУПІВЕЛЬ</w:t>
            </w:r>
          </w:p>
          <w:p w:rsidR="00C30F96" w:rsidRPr="00DF3182" w:rsidRDefault="00C30F96" w:rsidP="00DF3182">
            <w:pPr>
              <w:jc w:val="center"/>
              <w:rPr>
                <w:lang w:val="uk-UA"/>
              </w:rPr>
            </w:pPr>
          </w:p>
        </w:tc>
      </w:tr>
      <w:tr w:rsidR="00C30F96" w:rsidTr="00DF3182">
        <w:tc>
          <w:tcPr>
            <w:tcW w:w="14205" w:type="dxa"/>
            <w:gridSpan w:val="3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Пороги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30F96" w:rsidRDefault="00C30F96" w:rsidP="0077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Існуючі пороги:</w:t>
            </w:r>
          </w:p>
          <w:p w:rsidR="00C30F96" w:rsidRDefault="00C30F96" w:rsidP="007724B8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для товарів, послуг - 100 </w:t>
            </w:r>
            <w:r>
              <w:rPr>
                <w:lang w:val="uk-UA"/>
              </w:rPr>
              <w:t xml:space="preserve">000 грн </w:t>
            </w:r>
            <w:r w:rsidRPr="00DF3182">
              <w:rPr>
                <w:lang w:val="uk-UA"/>
              </w:rPr>
              <w:t xml:space="preserve">(без урахування податку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на дода</w:t>
            </w:r>
            <w:r>
              <w:rPr>
                <w:lang w:val="uk-UA"/>
              </w:rPr>
              <w:t xml:space="preserve">ну вартість), </w:t>
            </w:r>
          </w:p>
          <w:p w:rsidR="00C30F96" w:rsidRPr="00DF3182" w:rsidRDefault="00C30F96" w:rsidP="0077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робіт - 1 млн</w:t>
            </w:r>
            <w:r w:rsidRPr="00DF3182">
              <w:rPr>
                <w:lang w:val="uk-UA"/>
              </w:rPr>
              <w:t xml:space="preserve"> грн.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Збільшуються пороги:</w:t>
            </w:r>
            <w:r w:rsidRPr="00DF3182">
              <w:rPr>
                <w:lang w:val="uk-UA"/>
              </w:rPr>
              <w:br/>
              <w:t>для товарів, послуг - 20</w:t>
            </w:r>
            <w:r>
              <w:rPr>
                <w:lang w:val="uk-UA"/>
              </w:rPr>
              <w:t>0 000 грн,</w:t>
            </w:r>
            <w:r>
              <w:rPr>
                <w:lang w:val="uk-UA"/>
              </w:rPr>
              <w:br/>
              <w:t>для робіт  - 1,5 млн</w:t>
            </w:r>
            <w:r w:rsidRPr="00DF3182">
              <w:rPr>
                <w:lang w:val="uk-UA"/>
              </w:rPr>
              <w:t xml:space="preserve"> грн.</w:t>
            </w:r>
          </w:p>
          <w:p w:rsidR="00C30F96" w:rsidRPr="00DF3182" w:rsidRDefault="00C30F96">
            <w:pPr>
              <w:rPr>
                <w:lang w:val="uk-UA"/>
              </w:rPr>
            </w:pP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30F96" w:rsidRPr="00DF3182" w:rsidRDefault="00C30F96" w:rsidP="008D7715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Оголошення про проведення процедури закупівлі та про результати процедури закупівлі додатково оприлюднюється англійською мовою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якщо очікувана вартість перевищує суму, еквівалентну:</w:t>
            </w:r>
          </w:p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для товарів – 200 тис. євро;</w:t>
            </w:r>
          </w:p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для послуг  – 300 тис. євро;</w:t>
            </w:r>
          </w:p>
          <w:p w:rsidR="00C30F96" w:rsidRPr="00DF3182" w:rsidRDefault="00C30F96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робіт  </w:t>
            </w:r>
            <w:r w:rsidRPr="00DF3182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3182">
              <w:rPr>
                <w:lang w:val="uk-UA"/>
              </w:rPr>
              <w:t>500 тис. євро.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ind w:firstLine="284"/>
              <w:jc w:val="both"/>
              <w:rPr>
                <w:lang w:val="uk-UA"/>
              </w:rPr>
            </w:pPr>
          </w:p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Змінюються пороги для оприлюднення оголошень англійською мовою:</w:t>
            </w:r>
          </w:p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 для товарів і послуг - 133 тис. євро;</w:t>
            </w:r>
          </w:p>
          <w:p w:rsidR="00C30F96" w:rsidRPr="00DF3182" w:rsidRDefault="00C30F96">
            <w:pPr>
              <w:rPr>
                <w:lang w:val="uk-UA"/>
              </w:rPr>
            </w:pPr>
            <w:r>
              <w:rPr>
                <w:lang w:val="uk-UA"/>
              </w:rPr>
              <w:t xml:space="preserve"> для робіт - 5,15 млн</w:t>
            </w:r>
            <w:r w:rsidRPr="00DF3182">
              <w:rPr>
                <w:lang w:val="uk-UA"/>
              </w:rPr>
              <w:t xml:space="preserve"> євро.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30F96" w:rsidRPr="00DF3182" w:rsidRDefault="00C30F96" w:rsidP="008D7715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Поріг для проведення запиту цінових пропозицій </w:t>
            </w:r>
            <w:r>
              <w:rPr>
                <w:lang w:val="uk-UA"/>
              </w:rPr>
              <w:t xml:space="preserve">- </w:t>
            </w:r>
            <w:r w:rsidRPr="00DF3182">
              <w:rPr>
                <w:lang w:val="uk-UA"/>
              </w:rPr>
              <w:t>не більше 300 000 грн.</w:t>
            </w:r>
          </w:p>
        </w:tc>
        <w:tc>
          <w:tcPr>
            <w:tcW w:w="6804" w:type="dxa"/>
          </w:tcPr>
          <w:p w:rsidR="00C30F96" w:rsidRPr="00DF3182" w:rsidRDefault="00C30F96" w:rsidP="008764F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Збільшено поріг для проведення запиту цінових пропозицій </w:t>
            </w:r>
            <w:r>
              <w:rPr>
                <w:lang w:val="uk-UA"/>
              </w:rPr>
              <w:br/>
              <w:t xml:space="preserve">до </w:t>
            </w:r>
            <w:r w:rsidRPr="00DF3182">
              <w:rPr>
                <w:lang w:val="uk-UA"/>
              </w:rPr>
              <w:t>500 000 грн.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30F96" w:rsidRPr="00DF3182" w:rsidRDefault="00C30F96" w:rsidP="00D130A3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Закон про особливості здійснення </w:t>
            </w:r>
            <w:proofErr w:type="spellStart"/>
            <w:r w:rsidRPr="00DF3182">
              <w:rPr>
                <w:highlight w:val="white"/>
                <w:lang w:val="uk-UA"/>
              </w:rPr>
              <w:t>закупівель</w:t>
            </w:r>
            <w:proofErr w:type="spellEnd"/>
            <w:r w:rsidRPr="00DF3182">
              <w:rPr>
                <w:highlight w:val="white"/>
                <w:lang w:val="uk-UA"/>
              </w:rPr>
              <w:t xml:space="preserve"> в окремих сферах господарської діяльності</w:t>
            </w:r>
            <w:r>
              <w:rPr>
                <w:highlight w:val="white"/>
                <w:lang w:val="uk-UA"/>
              </w:rPr>
              <w:t xml:space="preserve"> </w:t>
            </w:r>
            <w:r w:rsidRPr="00DF3182">
              <w:rPr>
                <w:highlight w:val="white"/>
                <w:lang w:val="uk-UA"/>
              </w:rPr>
              <w:t xml:space="preserve">поширюється на закупівлі…., </w:t>
            </w:r>
            <w:r>
              <w:rPr>
                <w:highlight w:val="white"/>
                <w:lang w:val="uk-UA"/>
              </w:rPr>
              <w:br/>
            </w:r>
            <w:r w:rsidRPr="00DF3182">
              <w:rPr>
                <w:highlight w:val="white"/>
                <w:lang w:val="uk-UA"/>
              </w:rPr>
              <w:t>які повністю або частково здійснюються за рахунок бюджетних коштів: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для товарів, послуг дорівнює або перевищує суму 100 000 грн., 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для робіт – </w:t>
            </w:r>
            <w:r>
              <w:rPr>
                <w:highlight w:val="white"/>
                <w:lang w:val="uk-UA"/>
              </w:rPr>
              <w:t>1 млн грн</w:t>
            </w:r>
            <w:r w:rsidRPr="00DF3182">
              <w:rPr>
                <w:highlight w:val="white"/>
                <w:lang w:val="uk-UA"/>
              </w:rPr>
              <w:t>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Збільш</w:t>
            </w:r>
            <w:r>
              <w:rPr>
                <w:lang w:val="uk-UA"/>
              </w:rPr>
              <w:t xml:space="preserve">ено пороги для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, які</w:t>
            </w:r>
            <w:r w:rsidRPr="00DF3182">
              <w:rPr>
                <w:lang w:val="uk-UA"/>
              </w:rPr>
              <w:t xml:space="preserve"> </w:t>
            </w:r>
            <w:r w:rsidRPr="00DF3182">
              <w:rPr>
                <w:highlight w:val="white"/>
                <w:lang w:val="uk-UA"/>
              </w:rPr>
              <w:t>повністю або частково здійснюються за рахунок бюджетних коштів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для товарів, послуг </w:t>
            </w:r>
            <w:r>
              <w:rPr>
                <w:lang w:val="uk-UA"/>
              </w:rPr>
              <w:t xml:space="preserve">- </w:t>
            </w:r>
            <w:r w:rsidRPr="00DF3182">
              <w:rPr>
                <w:lang w:val="uk-UA"/>
              </w:rPr>
              <w:t>200 000 грн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робіт - 1,5 млн</w:t>
            </w:r>
            <w:r w:rsidRPr="00DF3182">
              <w:rPr>
                <w:lang w:val="uk-UA"/>
              </w:rPr>
              <w:t xml:space="preserve"> грн.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Інформацію про наявність антикорупційної програми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чи уповноваженого з її реалізації треба подавати Замовнику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якщо вартість закупівлі: 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товар</w:t>
            </w:r>
            <w:r>
              <w:rPr>
                <w:lang w:val="uk-UA"/>
              </w:rPr>
              <w:t>у (товарів), послуги (послуг)</w:t>
            </w:r>
            <w:r w:rsidRPr="00DF3182">
              <w:rPr>
                <w:lang w:val="uk-UA"/>
              </w:rPr>
              <w:t xml:space="preserve"> дорівнює або перевищує 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>1 млн грн</w:t>
            </w:r>
            <w:r w:rsidRPr="00DF3182">
              <w:rPr>
                <w:lang w:val="uk-UA"/>
              </w:rPr>
              <w:t>,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робіт дорівнює або перевищує 5 млн</w:t>
            </w:r>
            <w:r w:rsidRPr="00DF3182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н</w:t>
            </w:r>
            <w:r w:rsidRPr="00DF3182">
              <w:rPr>
                <w:lang w:val="uk-UA"/>
              </w:rPr>
              <w:t>.</w:t>
            </w:r>
          </w:p>
          <w:p w:rsidR="00C30F96" w:rsidRPr="00DF3182" w:rsidRDefault="00C30F96" w:rsidP="008D7715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Відповідні зміни внесені до Закону </w:t>
            </w:r>
            <w:hyperlink r:id="rId8">
              <w:r w:rsidRPr="00DF3182">
                <w:rPr>
                  <w:rFonts w:ascii="Verdana" w:hAnsi="Verdana" w:cs="Verdana"/>
                  <w:color w:val="5674B9"/>
                  <w:sz w:val="20"/>
                  <w:szCs w:val="20"/>
                  <w:highlight w:val="white"/>
                  <w:u w:val="single"/>
                  <w:lang w:val="uk-UA"/>
                </w:rPr>
                <w:t>Про запобігання корупції</w:t>
              </w:r>
            </w:hyperlink>
            <w:r w:rsidRPr="00DF3182">
              <w:rPr>
                <w:highlight w:val="white"/>
                <w:lang w:val="uk-UA"/>
              </w:rPr>
              <w:t xml:space="preserve"> (ст.62).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lastRenderedPageBreak/>
              <w:t xml:space="preserve">Інформацію про наявність антикорупційної програми </w:t>
            </w:r>
            <w:r>
              <w:rPr>
                <w:lang w:val="uk-UA"/>
              </w:rPr>
              <w:br/>
              <w:t xml:space="preserve">чи </w:t>
            </w:r>
            <w:r w:rsidRPr="00DF3182">
              <w:rPr>
                <w:lang w:val="uk-UA"/>
              </w:rPr>
              <w:t>уповноваженого з її реалізації треба буде подавати Замовнику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якщо вартість закупівлі: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товару (товарів), послуги (послуг) або робіт дорівнює або </w:t>
            </w:r>
            <w:r w:rsidRPr="00DF3182">
              <w:rPr>
                <w:lang w:val="uk-UA"/>
              </w:rPr>
              <w:lastRenderedPageBreak/>
              <w:t xml:space="preserve">перевищує </w:t>
            </w:r>
            <w:r w:rsidRPr="00DF3182">
              <w:rPr>
                <w:b/>
                <w:u w:val="single"/>
                <w:lang w:val="uk-UA"/>
              </w:rPr>
              <w:t>20 мільйонів гривень</w:t>
            </w:r>
            <w:r w:rsidRPr="00DF3182">
              <w:rPr>
                <w:lang w:val="uk-UA"/>
              </w:rPr>
              <w:t>.</w:t>
            </w:r>
          </w:p>
        </w:tc>
      </w:tr>
      <w:tr w:rsidR="00C30F96" w:rsidTr="00DF3182">
        <w:tc>
          <w:tcPr>
            <w:tcW w:w="14205" w:type="dxa"/>
            <w:gridSpan w:val="3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highlight w:val="white"/>
                <w:lang w:val="uk-UA"/>
              </w:rPr>
              <w:lastRenderedPageBreak/>
              <w:t xml:space="preserve">Оприлюднення інформації на веб-порталі </w:t>
            </w:r>
            <w:r w:rsidRPr="00DF3182">
              <w:rPr>
                <w:b/>
                <w:lang w:val="uk-UA"/>
              </w:rPr>
              <w:t>Уповноваженого органу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Річний план, зміни до нього надсилаються до казначейства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та обслуговуючого Замовника банку.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Річний план, зміни до нього оприлюднюються Замовником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на власному веб-сайті або за його відсутності на веб-сайті головного розпорядника бюджетних коштів.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Річний план, зміни до нього </w:t>
            </w:r>
            <w:r w:rsidRPr="00DF3182">
              <w:rPr>
                <w:b/>
                <w:lang w:val="uk-UA"/>
              </w:rPr>
              <w:t>не потрібно</w:t>
            </w:r>
            <w:r w:rsidRPr="00DF3182">
              <w:rPr>
                <w:lang w:val="uk-UA"/>
              </w:rPr>
              <w:t xml:space="preserve"> надсилати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до казначейства та обслуговуючого Замовника банку.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Закупівля здійснюється відповідно до річного плану. Річний план та зміни до нього безоплатно оприлюднюються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 xml:space="preserve">на веб-порталі Уповноваженого органу з питань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протягом п’яти робочих днів з дня затвердження річного плану або змін до нього.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Закупівля здійснюється відповідно до річного плану, складеного за формою, затвердженою Уповноваженим органом 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Річний план складається з основного плану, що містить перелік </w:t>
            </w:r>
            <w:proofErr w:type="spellStart"/>
            <w:r w:rsidRPr="00DF3182">
              <w:rPr>
                <w:highlight w:val="white"/>
                <w:lang w:val="uk-UA"/>
              </w:rPr>
              <w:t>закупівель</w:t>
            </w:r>
            <w:proofErr w:type="spellEnd"/>
            <w:r w:rsidRPr="00DF3182">
              <w:rPr>
                <w:highlight w:val="white"/>
                <w:lang w:val="uk-UA"/>
              </w:rPr>
              <w:t>, за якими будуть проводитися процедури закупівлі, та з додатку, в якому зазначаються закупівлі, що здійснюються без проведення процедур закупівлі відповідно до закон</w:t>
            </w:r>
            <w:r>
              <w:rPr>
                <w:highlight w:val="white"/>
                <w:lang w:val="uk-UA"/>
              </w:rPr>
              <w:t>у</w:t>
            </w:r>
            <w:r w:rsidRPr="00DF3182">
              <w:rPr>
                <w:highlight w:val="white"/>
                <w:lang w:val="uk-UA"/>
              </w:rPr>
              <w:t xml:space="preserve">. 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Річний план, зміни до нього надсилаються до органів, що здійснюють казначейське обслуговування бюджетних коштів, або обслуговуючого банку за місцем обслуговування замовника протягом п’яти робочих днів з дня їх затвердження. 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Додаток до річного плану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не потрібно оприлюднювати на веб-порталі в складі Річного плану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.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Потрібно роздруковувати оголошення (казначейство </w:t>
            </w:r>
            <w:proofErr w:type="spellStart"/>
            <w:r w:rsidRPr="00DF3182">
              <w:rPr>
                <w:lang w:val="uk-UA"/>
              </w:rPr>
              <w:t>вимогало</w:t>
            </w:r>
            <w:proofErr w:type="spellEnd"/>
            <w:r w:rsidRPr="00DF3182">
              <w:rPr>
                <w:lang w:val="uk-UA"/>
              </w:rPr>
              <w:t>)  з веб-порталу Уповноваженого органу  про закупівлю для казначейства.</w:t>
            </w:r>
          </w:p>
        </w:tc>
        <w:tc>
          <w:tcPr>
            <w:tcW w:w="6804" w:type="dxa"/>
          </w:tcPr>
          <w:p w:rsidR="00C30F96" w:rsidRPr="00DF3182" w:rsidRDefault="00C30F96" w:rsidP="008764F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Органи державної казначейської служби перевірятимуть наявн</w:t>
            </w:r>
            <w:r>
              <w:rPr>
                <w:lang w:val="uk-UA"/>
              </w:rPr>
              <w:t>і</w:t>
            </w:r>
            <w:r w:rsidRPr="00DF3182">
              <w:rPr>
                <w:lang w:val="uk-UA"/>
              </w:rPr>
              <w:t>ст</w:t>
            </w:r>
            <w:r>
              <w:rPr>
                <w:lang w:val="uk-UA"/>
              </w:rPr>
              <w:t>ь</w:t>
            </w:r>
            <w:r w:rsidRPr="00DF3182">
              <w:rPr>
                <w:lang w:val="uk-UA"/>
              </w:rPr>
              <w:t xml:space="preserve"> річного плану  та звіту про результати проведення процедури закупівлі, які підтверджують проведення процедури закупівлі, шляхом їх перегляду на веб-порталі Уповноваженого органу.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Загальні строки оприлюднення на порталі - 20 робочих днів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У разі якщо оголошення оприлюднюються англійською мовою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строк подання пропозицій конкурсних торгів (кваліфікаційних пропозицій) </w:t>
            </w:r>
            <w:r w:rsidRPr="00DF3182">
              <w:rPr>
                <w:b/>
                <w:lang w:val="uk-UA"/>
              </w:rPr>
              <w:t>не може бути меншим, ніж 40 днів</w:t>
            </w:r>
            <w:r w:rsidRPr="00DF3182">
              <w:rPr>
                <w:lang w:val="uk-UA"/>
              </w:rPr>
              <w:t xml:space="preserve"> з дня його оприлюднення.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>У разі подання інформації на веб-портал Уповноваженого органу не в формі електронних документів зміст такої інформації підтверджується у письмовій формі.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Оригінали документів, які оприлюднюються на веб-порталі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DF3182">
              <w:rPr>
                <w:b/>
                <w:lang w:val="uk-UA"/>
              </w:rPr>
              <w:t xml:space="preserve">не потрібно </w:t>
            </w:r>
            <w:r w:rsidRPr="00DF3182">
              <w:rPr>
                <w:lang w:val="uk-UA"/>
              </w:rPr>
              <w:t>надсилати до ДП «</w:t>
            </w:r>
            <w:proofErr w:type="spellStart"/>
            <w:r w:rsidRPr="00DF3182">
              <w:rPr>
                <w:lang w:val="uk-UA"/>
              </w:rPr>
              <w:t>Зовнішторгвидав</w:t>
            </w:r>
            <w:proofErr w:type="spellEnd"/>
            <w:r w:rsidRPr="00DF3182">
              <w:rPr>
                <w:lang w:val="uk-UA"/>
              </w:rPr>
              <w:t xml:space="preserve"> України».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>Рішення комітету з конкурсних торгів оформляється протоколом, який підписується всіма членами комітету, присутніми на засіданні комітету з конкурсних торгів. 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У протоколі відображаються результати поіменного голосування членів комітету, присутніх на засіданні, з кожного питання.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>З дня прийняття Замовником рішення за результатами розгляду звернення з вимогою щодо усунення порушення під час проведення процедури закупівлі подати його разом із зверненням для оприлюднення на веб-порталі Уповноваженого органу.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Замовник зобов’язаний протягом </w:t>
            </w:r>
            <w:r w:rsidRPr="00DF3182">
              <w:rPr>
                <w:b/>
                <w:lang w:val="uk-UA"/>
              </w:rPr>
              <w:t>одного робочого дня</w:t>
            </w:r>
            <w:r w:rsidRPr="00DF3182">
              <w:rPr>
                <w:lang w:val="uk-UA"/>
              </w:rPr>
              <w:t xml:space="preserve"> з дня прийняття  рішення за результатами розгляду звернення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з вимогою щодо усунення порушення під час проведення процедури закупівлі подати рішення разом із зверненням для оприлюднення на веб-порталі Уповноваженого органу.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Протокол оцінки пропозицій конкурсних торгів не оприлюднюється на веб-порталі Уповноваженого органу.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Протокол оцінки пропозицій конкурсних торгів (цінових пропозицій) потрібно </w:t>
            </w:r>
            <w:r w:rsidRPr="00DF3182">
              <w:rPr>
                <w:b/>
                <w:lang w:val="uk-UA"/>
              </w:rPr>
              <w:t xml:space="preserve"> оприлюднювати на веб-порталі Уповноваженого органу.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Зміни до документації конкурсних торгів, кваліфікаційної документації треба оприлюднювати на веб-порталі Уповноваженого органу протягом трьох робочих днів з дня прийняття рішення про їх внесення, але не пізніше ніж за сім днів до дати розкриття пропозицій конкурсних торгів.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Зміни до документації конкурсних торгів, кваліфікаційної документації або запиту цінових пропозицій та роз’яснення до них (за наявності) треба  оприлюднювати на веб-порталі Уповноваженого органу </w:t>
            </w:r>
            <w:proofErr w:type="spellStart"/>
            <w:r w:rsidRPr="00DF3182">
              <w:rPr>
                <w:b/>
                <w:lang w:val="uk-UA"/>
              </w:rPr>
              <w:t>протягомодного</w:t>
            </w:r>
            <w:proofErr w:type="spellEnd"/>
            <w:r w:rsidRPr="00DF3182">
              <w:rPr>
                <w:b/>
                <w:lang w:val="uk-UA"/>
              </w:rPr>
              <w:t xml:space="preserve"> робочого дня</w:t>
            </w:r>
            <w:r w:rsidRPr="00DF3182">
              <w:rPr>
                <w:lang w:val="uk-UA"/>
              </w:rPr>
              <w:t xml:space="preserve"> з дня прийняття рішення про їх внесення або надання роз’яснень.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У разі внесення змін до ДКТ строк подання та розкриття пропозицій треба  продовжувати </w:t>
            </w:r>
            <w:r w:rsidRPr="00DF3182">
              <w:rPr>
                <w:u w:val="single"/>
                <w:lang w:val="uk-UA"/>
              </w:rPr>
              <w:t>не менше ніж на сім днів.</w:t>
            </w:r>
          </w:p>
        </w:tc>
        <w:tc>
          <w:tcPr>
            <w:tcW w:w="6804" w:type="dxa"/>
          </w:tcPr>
          <w:p w:rsidR="00C30F96" w:rsidRPr="00DF3182" w:rsidRDefault="00C30F96" w:rsidP="008764F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У разі внесення змін до ДКТ строк подання та розкриття пропозицій треба  продовжувати не менше ніж на сім </w:t>
            </w:r>
            <w:r w:rsidRPr="00DF3182">
              <w:rPr>
                <w:b/>
                <w:lang w:val="uk-UA"/>
              </w:rPr>
              <w:t>робочих днів</w:t>
            </w:r>
            <w:r w:rsidRPr="00DF3182">
              <w:rPr>
                <w:lang w:val="uk-UA"/>
              </w:rPr>
              <w:t xml:space="preserve"> з дня оприлюднення змін на веб-порталі Уповноваженого органу.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Не передбачено внесення змін до запиту цінових пропозицій.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Передбачено право замовника вносити зміни до запиту цінових пропозицій, при цьому необхідно продовжити строк подання та розкриття пропозицій не менше ніж на </w:t>
            </w:r>
            <w:r w:rsidRPr="00DF3182">
              <w:rPr>
                <w:b/>
                <w:lang w:val="uk-UA"/>
              </w:rPr>
              <w:t>п’ять робочих днів</w:t>
            </w:r>
            <w:r w:rsidRPr="00DF3182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 xml:space="preserve">з дати оприлюднення таких змін. Повідомити усіх,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кому направлено запит, та оприлюднити зміни на веб-порталі Уповноваженого органу.</w:t>
            </w:r>
          </w:p>
        </w:tc>
      </w:tr>
      <w:tr w:rsidR="00C30F96" w:rsidTr="00DF3182">
        <w:trPr>
          <w:trHeight w:val="240"/>
        </w:trPr>
        <w:tc>
          <w:tcPr>
            <w:tcW w:w="14205" w:type="dxa"/>
            <w:gridSpan w:val="3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highlight w:val="white"/>
                <w:lang w:val="uk-UA"/>
              </w:rPr>
              <w:t>Функції МЕРТ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  <w:vMerge w:val="restart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Функції моніторингу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здійснює Міністерство економічного розвитку і торгівлі України.</w:t>
            </w:r>
          </w:p>
          <w:p w:rsidR="00C30F96" w:rsidRPr="00DF3182" w:rsidRDefault="00C30F96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Функції моніторингу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буде здійснювати </w:t>
            </w:r>
            <w:r w:rsidRPr="00DF3182">
              <w:rPr>
                <w:b/>
                <w:lang w:val="uk-UA"/>
              </w:rPr>
              <w:t xml:space="preserve">Державна фінансова інспекція України  та її органи </w:t>
            </w:r>
            <w:r>
              <w:rPr>
                <w:b/>
                <w:lang w:val="uk-UA"/>
              </w:rPr>
              <w:br/>
            </w:r>
            <w:r w:rsidRPr="00DF3182">
              <w:rPr>
                <w:b/>
                <w:lang w:val="uk-UA"/>
              </w:rPr>
              <w:t>на місцях.</w:t>
            </w:r>
          </w:p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Порядок здійснення моніторингу визначається органом виконавчої влади, що реалізує державну політику,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що забезпечує формування державної фінансової політики.</w:t>
            </w:r>
          </w:p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  <w:vMerge/>
          </w:tcPr>
          <w:p w:rsidR="00C30F96" w:rsidRPr="00DF3182" w:rsidRDefault="00C30F96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буде аналізувати функціонування системи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здійснює </w:t>
            </w:r>
            <w:r w:rsidRPr="00DF3182">
              <w:rPr>
                <w:highlight w:val="white"/>
                <w:lang w:val="uk-UA"/>
              </w:rPr>
              <w:t xml:space="preserve">підготовку та подання до Кабінету Міністрів України, Рахункової палати квартальних звітів про стан </w:t>
            </w:r>
            <w:proofErr w:type="spellStart"/>
            <w:r w:rsidRPr="00DF3182">
              <w:rPr>
                <w:highlight w:val="white"/>
                <w:lang w:val="uk-UA"/>
              </w:rPr>
              <w:t>закупівель</w:t>
            </w:r>
            <w:proofErr w:type="spellEnd"/>
            <w:r w:rsidRPr="00DF3182">
              <w:rPr>
                <w:highlight w:val="white"/>
                <w:lang w:val="uk-UA"/>
              </w:rPr>
              <w:t>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буде здійснювати підготовку та подання до Верховної Ради України, Кабінету Міністрів України, Рахункової палати щорічного звіту, що містить аналіз функціонування системи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розробляє та затверджує порядок здійснення моніторингу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та повідомлення учасникам про результати процедури закупівлі.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</w:t>
            </w:r>
            <w:r w:rsidRPr="00DF3182">
              <w:rPr>
                <w:b/>
                <w:lang w:val="uk-UA"/>
              </w:rPr>
              <w:t>не буде</w:t>
            </w:r>
            <w:r w:rsidRPr="00DF3182">
              <w:rPr>
                <w:lang w:val="uk-UA"/>
              </w:rPr>
              <w:t xml:space="preserve"> розробляти та затверджувати порядок здійснення моніторингу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та повідомлення учасникам про результати процедури закупівлі.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має проводити громадські слухання з питань удосконалення системи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</w:t>
            </w:r>
            <w:r>
              <w:rPr>
                <w:b/>
                <w:lang w:val="uk-UA"/>
              </w:rPr>
              <w:t>буд</w:t>
            </w:r>
            <w:r w:rsidRPr="00DF3182">
              <w:rPr>
                <w:b/>
                <w:lang w:val="uk-UA"/>
              </w:rPr>
              <w:t>е</w:t>
            </w:r>
            <w:r w:rsidRPr="00DF3182">
              <w:rPr>
                <w:lang w:val="uk-UA"/>
              </w:rPr>
              <w:t xml:space="preserve"> здійснювати взаємодію з громадськістю з питань удосконалення системи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розробляє та затверджує повідомлення про відміну торгів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чи визнання їх такими, що не відбулися, повідомлення про відміну переговорної процедури закупівлі.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Міністерство економічного розвитку і торгівлі України </w:t>
            </w:r>
            <w:r w:rsidRPr="00DF3182">
              <w:rPr>
                <w:b/>
                <w:lang w:val="uk-UA"/>
              </w:rPr>
              <w:t>не буде</w:t>
            </w:r>
            <w:r w:rsidRPr="00DF3182">
              <w:rPr>
                <w:lang w:val="uk-UA"/>
              </w:rPr>
              <w:t xml:space="preserve"> розробляти та затверджувати повідомлення про відміну торгів чи визнання їх такими, що не відбулися, повідомлення про відміну переговорної процедури закупівлі.</w:t>
            </w:r>
          </w:p>
        </w:tc>
      </w:tr>
      <w:tr w:rsidR="00C30F96" w:rsidTr="00DF3182">
        <w:tc>
          <w:tcPr>
            <w:tcW w:w="14205" w:type="dxa"/>
            <w:gridSpan w:val="3"/>
          </w:tcPr>
          <w:p w:rsidR="00C30F96" w:rsidRPr="00DF3182" w:rsidRDefault="00C30F96" w:rsidP="00DF3182">
            <w:pPr>
              <w:spacing w:after="60"/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Зміни у процедурах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Закупівлю за рамковими угодами можна здійснювати шляхом застосування процедури двоступеневих торгів, попередньої кваліфікації.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spacing w:after="60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Закупівлю за рамковими угодами </w:t>
            </w:r>
            <w:r w:rsidRPr="00780CCD">
              <w:rPr>
                <w:b/>
                <w:lang w:val="uk-UA"/>
              </w:rPr>
              <w:t>не можна</w:t>
            </w:r>
            <w:r w:rsidRPr="00DF3182">
              <w:rPr>
                <w:lang w:val="uk-UA"/>
              </w:rPr>
              <w:t xml:space="preserve"> буде здійснювати шляхом проведення процедури двоступеневих торгів, попередньої кваліфікації.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 xml:space="preserve"> НЕ БУЛО ТАКОЇ ПІДСТАВИ.</w:t>
            </w: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  <w:p w:rsidR="00C30F96" w:rsidRPr="00DF3182" w:rsidRDefault="00C30F96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Частина 1 статті 17 Закону доповниться новою підставою для відмови учаснику в проведенні процедури закупівлі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 xml:space="preserve">та зобов’язання Замовника відхилити його пропозицію: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 xml:space="preserve">у Єдиному реєстрі юридичних осіб та фізичних осіб - підприємців відсутня інформація, передбачена частиною другою статті 17 Закону України “Про державну реєстрацію юридичних осіб та фізичних осіб - підприємців” </w:t>
            </w:r>
            <w:r w:rsidRPr="00DF3182">
              <w:rPr>
                <w:b/>
                <w:lang w:val="uk-UA"/>
              </w:rPr>
              <w:t xml:space="preserve">про кінцевого </w:t>
            </w:r>
            <w:proofErr w:type="spellStart"/>
            <w:r w:rsidRPr="00DF3182">
              <w:rPr>
                <w:b/>
                <w:lang w:val="uk-UA"/>
              </w:rPr>
              <w:t>бенефіціарного</w:t>
            </w:r>
            <w:proofErr w:type="spellEnd"/>
            <w:r w:rsidRPr="00DF3182">
              <w:rPr>
                <w:b/>
                <w:lang w:val="uk-UA"/>
              </w:rPr>
              <w:t xml:space="preserve"> власника (контролера)</w:t>
            </w:r>
            <w:r w:rsidRPr="00DF3182">
              <w:rPr>
                <w:lang w:val="uk-UA"/>
              </w:rPr>
              <w:t xml:space="preserve"> юридичної особи - резидента України, яка є учасником (учасником попередньої кваліфікації).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Pr="003A4E9F" w:rsidRDefault="00C30F96" w:rsidP="00DF3182">
            <w:pPr>
              <w:jc w:val="center"/>
              <w:rPr>
                <w:lang w:val="uk-UA"/>
              </w:rPr>
            </w:pPr>
            <w:r w:rsidRPr="003A4E9F">
              <w:rPr>
                <w:lang w:val="uk-UA"/>
              </w:rPr>
              <w:t>3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Усі учасники повинні подати Замовнику у складі пропозиції документи, які підтверджують відсутність підстав для відхилення пропозиції учасників відповідно до статті 17 Закону.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b/>
                <w:lang w:val="uk-UA"/>
              </w:rPr>
              <w:t>Лише переможець</w:t>
            </w:r>
            <w:r w:rsidRPr="00DF3182">
              <w:rPr>
                <w:lang w:val="uk-UA"/>
              </w:rPr>
              <w:t xml:space="preserve"> торгів у строк, що не перевищує 10 робочих днів (5 днів у разі застосування скороченої процедури закупівлі)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повинен буде надати Замовнику документи про відсутність підстав, передбачених пунктами 1¹, 2, 4, 5 і 7 частини першої та пунктом 1 частини другої статті 17 Закону щодо відхилення пропозиції конкурсних торгів переможця.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Замовник не вимагає від учасника документів та інформації, що підтверджують відсутність підстав, визначених пунктами 1 і 6 частини першої статті 17, а також інформації, що міститься у відкритих єдиних державних реєстрах, доступ до яких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є вільним.</w:t>
            </w:r>
          </w:p>
        </w:tc>
      </w:tr>
      <w:tr w:rsidR="00C30F96" w:rsidTr="00DF3182">
        <w:tc>
          <w:tcPr>
            <w:tcW w:w="597" w:type="dxa"/>
          </w:tcPr>
          <w:p w:rsidR="00C30F96" w:rsidRPr="00370185" w:rsidRDefault="00C30F96" w:rsidP="00DF3182">
            <w:pPr>
              <w:jc w:val="center"/>
              <w:rPr>
                <w:lang w:val="uk-UA"/>
              </w:rPr>
            </w:pPr>
            <w:r w:rsidRPr="00370185">
              <w:rPr>
                <w:lang w:val="uk-UA"/>
              </w:rPr>
              <w:t>5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КМУ буде затверджувати Порядок видачі єдиного документа, що підтверджує відповідність учасника вимогам, визначеним частинами першою і другою статті 17 Закону.</w:t>
            </w:r>
          </w:p>
        </w:tc>
      </w:tr>
      <w:tr w:rsidR="00C30F96" w:rsidRPr="008D7715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не вимагає документального підтвердження інформації про відповідніс</w:t>
            </w:r>
            <w:r>
              <w:rPr>
                <w:lang w:val="uk-UA"/>
              </w:rPr>
              <w:t>ть вимогам статті 17 Закону</w:t>
            </w:r>
            <w:r w:rsidRPr="00DF3182">
              <w:rPr>
                <w:lang w:val="uk-UA"/>
              </w:rPr>
              <w:t>, якщо така інформація міститься у відкритих єдиних державних реєстрах, доступ до яких є вільним.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Відсутнє поняття формальних помилок, їх наявність у пропозиції Учасника є підставою для відхилення пропозиції конкурсних торгів Учасника.</w:t>
            </w:r>
          </w:p>
        </w:tc>
        <w:tc>
          <w:tcPr>
            <w:tcW w:w="6804" w:type="dxa"/>
          </w:tcPr>
          <w:p w:rsidR="00C30F96" w:rsidRPr="00DF3182" w:rsidRDefault="00C30F96" w:rsidP="008764FF">
            <w:pPr>
              <w:ind w:left="6"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Замовник повинен визначити у </w:t>
            </w:r>
            <w:r>
              <w:rPr>
                <w:lang w:val="uk-UA"/>
              </w:rPr>
              <w:t>документації конкурсних торгів</w:t>
            </w:r>
            <w:r w:rsidRPr="00DF3182">
              <w:rPr>
                <w:lang w:val="uk-UA"/>
              </w:rPr>
              <w:t xml:space="preserve"> (кваліфікаційній документації), що таке формальні помилки. Формальними (несуттєвими) вважаються  помилки, що пов’язані з оформленням пропозиції конкурсних торгів (кваліфікаційної пропозиції) та не впливають на зміст пропозиції, а саме:  відсутність нумерації сторінок, підписів, печаток на окремих документах, технічні помилки та описки. За наявності формальних помилок пропозиція конкурсних торгів (кваліфікаційна пропозиція) не відхиляється.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Під час розкриття пропозицій конкурсних торгів на вимогу суб’єктів, зазначених у частині другій статті 27 Закону, замовник НЕ ПОВИНЕН  продемонструвати зміст документа, що містить інформацію про ціну, наявність чи відсутність усіх необхідних документів, передбачених документацією конкурсних торгів.</w:t>
            </w:r>
          </w:p>
        </w:tc>
        <w:tc>
          <w:tcPr>
            <w:tcW w:w="6804" w:type="dxa"/>
          </w:tcPr>
          <w:p w:rsidR="00C30F96" w:rsidRPr="00DF3182" w:rsidRDefault="00C30F96" w:rsidP="003A4E9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Під час розкриття пропозицій конкурсних торгів на вимогу суб’єктів, зазначених у частині другій статті 27 Закону, замовник зобов’язаний продемонструвати зміст документа, що містить інформацію про ціну, наявність чи відсутність усіх необхідних документів, передбачених документацією конкурсних торгів.</w:t>
            </w:r>
          </w:p>
          <w:p w:rsidR="00C30F96" w:rsidRPr="00DF3182" w:rsidRDefault="00C30F96" w:rsidP="008764F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Зазначена інформація вноситься до протоколу розкриття пропозицій конкурсних торгів.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Виправлення арифметичних помилок передбачено тільки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у пропозиції конкурсних торгів.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Арифметичні помилки можна виправляти і у ціновій пропозиції.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НЕ ПОВИНЕН ЦЬОГО РОБИТИ.</w:t>
            </w:r>
          </w:p>
        </w:tc>
        <w:tc>
          <w:tcPr>
            <w:tcW w:w="6804" w:type="dxa"/>
          </w:tcPr>
          <w:p w:rsidR="00C30F96" w:rsidRPr="00DF3182" w:rsidRDefault="00C30F96" w:rsidP="008764FF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зобов’язаний надати учаснику, пропозиція якого було відхилена, інформацію про пропозицію, визнану найбільш економічно вигідною за результатами оцінки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не пізніше ніж </w:t>
            </w:r>
            <w:r w:rsidRPr="00DF3182">
              <w:rPr>
                <w:b/>
                <w:lang w:val="uk-UA"/>
              </w:rPr>
              <w:t>через п’ять днів</w:t>
            </w:r>
            <w:r>
              <w:rPr>
                <w:lang w:val="uk-UA"/>
              </w:rPr>
              <w:t xml:space="preserve"> </w:t>
            </w:r>
            <w:r w:rsidRPr="00DF3182">
              <w:rPr>
                <w:lang w:val="uk-UA"/>
              </w:rPr>
              <w:t>з д</w:t>
            </w:r>
            <w:r>
              <w:rPr>
                <w:lang w:val="uk-UA"/>
              </w:rPr>
              <w:t>ня надходження такого звернення</w:t>
            </w:r>
            <w:r w:rsidRPr="00DF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DF3182">
              <w:rPr>
                <w:lang w:val="uk-UA"/>
              </w:rPr>
              <w:t>у тому числі  про переваги акцептованої пропозиції</w:t>
            </w:r>
            <w:r>
              <w:rPr>
                <w:lang w:val="uk-UA"/>
              </w:rPr>
              <w:t>)</w:t>
            </w:r>
            <w:r w:rsidRPr="00DF3182">
              <w:rPr>
                <w:lang w:val="uk-UA"/>
              </w:rPr>
              <w:t>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Учасник, пропозиція конкурсних торгів якого відхилена, повідомляється про це із зазначенням аргументованих підстав протягом </w:t>
            </w:r>
            <w:r w:rsidRPr="00DF3182">
              <w:rPr>
                <w:highlight w:val="white"/>
                <w:u w:val="single"/>
                <w:lang w:val="uk-UA"/>
              </w:rPr>
              <w:t>трьох робочих днів</w:t>
            </w:r>
            <w:r w:rsidRPr="00DF3182">
              <w:rPr>
                <w:highlight w:val="white"/>
                <w:lang w:val="uk-UA"/>
              </w:rPr>
              <w:t xml:space="preserve"> з дати прийняття такого рішення.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Учасник може повторно звертатися до Замовника стосовно отримання інформації щодо відхилення його пропозиції 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 xml:space="preserve">і Замовник зобов’язаний надати йому відповідь з такою інформацією не пізніше ніж через </w:t>
            </w:r>
            <w:r w:rsidRPr="00DF3182">
              <w:rPr>
                <w:b/>
                <w:lang w:val="uk-UA"/>
              </w:rPr>
              <w:t>п’ять днів</w:t>
            </w:r>
            <w:r>
              <w:rPr>
                <w:b/>
                <w:lang w:val="uk-UA"/>
              </w:rPr>
              <w:t xml:space="preserve"> </w:t>
            </w:r>
            <w:r w:rsidRPr="00DF3182">
              <w:rPr>
                <w:lang w:val="uk-UA"/>
              </w:rPr>
              <w:t>з дня надходження такого звернення.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надсилає усім учасникам письмове повідомлення про результати торгів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не надсилає переможцю торгів письмове повідомлення про результати торгів.</w:t>
            </w:r>
            <w:bookmarkStart w:id="0" w:name="_GoBack"/>
            <w:bookmarkEnd w:id="0"/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відміняє торги у разі виявлення факту змови учасників.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Виявлення факту змови учасників не буде підставою для відміни торгів.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Замовником при застосува</w:t>
            </w:r>
            <w:r>
              <w:rPr>
                <w:lang w:val="uk-UA"/>
              </w:rPr>
              <w:t>нні нагальної потреби у зв’язку</w:t>
            </w:r>
            <w:r w:rsidRPr="00DF3182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з особливим періодом виступає Міноборони, МВС, СБУ…….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Доповнено перелік органів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які можуть здійснювати закупівлю по нагальній потребі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«іншими військовими формуваннями/та або частини».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A321C8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Замовник не вимагає від учасників попередньої кваліфікації, які пройшли кваліфікаційний відбір, повторного подання ними документально підтвердженої інформації про їх відповідність кваліфікаційним критеріям під час подальшого проведення процедури.</w:t>
            </w:r>
          </w:p>
        </w:tc>
      </w:tr>
      <w:tr w:rsidR="00C30F96" w:rsidRPr="00152D9D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Переговорна процедура закупівлі застосовується Замовником як виняток  </w:t>
            </w:r>
            <w:r>
              <w:rPr>
                <w:lang w:val="uk-UA"/>
              </w:rPr>
              <w:t xml:space="preserve">у разі нагальної потреби…………, а </w:t>
            </w:r>
            <w:r w:rsidRPr="00DF3182">
              <w:rPr>
                <w:lang w:val="uk-UA"/>
              </w:rPr>
              <w:t>саме</w:t>
            </w:r>
            <w:r>
              <w:rPr>
                <w:lang w:val="uk-UA"/>
              </w:rPr>
              <w:t>:</w:t>
            </w:r>
            <w:r w:rsidRPr="00DF3182">
              <w:rPr>
                <w:lang w:val="uk-UA"/>
              </w:rPr>
              <w:t xml:space="preserve"> пов’язаних з негайною ліквідацією наслідків надзвичайних ситуацій техногенного та природного характеру.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Розширено перелік випадків для застосування нагальної потреби у зв’язку з виникненням особливих економічних обставин - пов’язаних з негайною ліквідацією наслідків надзвичайних ситуацій, виключивши слова про те, що такі надзвичайні ситуації мають бути  </w:t>
            </w:r>
            <w:r w:rsidRPr="00DF3182">
              <w:rPr>
                <w:b/>
                <w:lang w:val="uk-UA"/>
              </w:rPr>
              <w:t>техногенного та природного характеру</w:t>
            </w:r>
            <w:r w:rsidRPr="00DF3182">
              <w:rPr>
                <w:lang w:val="uk-UA"/>
              </w:rPr>
              <w:t>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highlight w:val="white"/>
                <w:lang w:val="uk-UA"/>
              </w:rPr>
              <w:t xml:space="preserve">Переговорна процедура закупівлі відміняється в разі, якщо замовником допущено порушення порядку оприлюднення інформації про застосування переговорної процедури закупівлі, визначеного цим Законом, та/або порушення, які вплинули на об’єктивність визначення переможця процедури закупівлі. 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Доповнено підстави для відміни пер</w:t>
            </w:r>
            <w:r>
              <w:rPr>
                <w:lang w:val="uk-UA"/>
              </w:rPr>
              <w:t>еговорної процедури закупівлі (</w:t>
            </w:r>
            <w:r w:rsidRPr="00DF3182">
              <w:rPr>
                <w:lang w:val="uk-UA"/>
              </w:rPr>
              <w:t>ч. 5 статті 39 Закону</w:t>
            </w:r>
            <w:r>
              <w:rPr>
                <w:lang w:val="uk-UA"/>
              </w:rPr>
              <w:t>)</w:t>
            </w:r>
            <w:r w:rsidRPr="00DF3182">
              <w:rPr>
                <w:lang w:val="uk-UA"/>
              </w:rPr>
              <w:t>:</w:t>
            </w:r>
          </w:p>
          <w:p w:rsidR="00C30F96" w:rsidRPr="00DF3182" w:rsidRDefault="00C30F96" w:rsidP="003A4E9F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неможливості усунення порушень, що виникли через виявлені порушення законодавства з питань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>;</w:t>
            </w:r>
          </w:p>
          <w:p w:rsidR="00C30F96" w:rsidRPr="00DF3182" w:rsidRDefault="00C30F96" w:rsidP="003A4E9F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lang w:val="uk-UA"/>
              </w:rPr>
            </w:pPr>
            <w:bookmarkStart w:id="1" w:name="h.gjdgxs" w:colFirst="0" w:colLast="0"/>
            <w:bookmarkEnd w:id="1"/>
            <w:r w:rsidRPr="00DF3182">
              <w:rPr>
                <w:lang w:val="uk-UA"/>
              </w:rPr>
              <w:t>відсутності подальшої потреби в закупівлі товарів, робіт і послуг;</w:t>
            </w:r>
          </w:p>
          <w:p w:rsidR="00C30F96" w:rsidRPr="00DF3182" w:rsidRDefault="00C30F96" w:rsidP="003A4E9F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lang w:val="uk-UA"/>
              </w:rPr>
            </w:pPr>
            <w:bookmarkStart w:id="2" w:name="h.30j0zll" w:colFirst="0" w:colLast="0"/>
            <w:bookmarkEnd w:id="2"/>
            <w:r w:rsidRPr="00DF3182">
              <w:rPr>
                <w:lang w:val="uk-UA"/>
              </w:rPr>
              <w:t>скорочення видатків на здійснення закупівлі товарів, робіт і послуг;</w:t>
            </w:r>
          </w:p>
          <w:p w:rsidR="00C30F96" w:rsidRPr="00DF3182" w:rsidRDefault="00C30F96" w:rsidP="00067452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lang w:val="uk-UA"/>
              </w:rPr>
            </w:pPr>
            <w:bookmarkStart w:id="3" w:name="h.1fob9te" w:colFirst="0" w:colLast="0"/>
            <w:bookmarkEnd w:id="3"/>
            <w:proofErr w:type="spellStart"/>
            <w:r w:rsidRPr="00DF3182">
              <w:rPr>
                <w:lang w:val="uk-UA"/>
              </w:rPr>
              <w:t>непідписання</w:t>
            </w:r>
            <w:proofErr w:type="spellEnd"/>
            <w:r w:rsidRPr="00DF3182">
              <w:rPr>
                <w:lang w:val="uk-UA"/>
              </w:rPr>
              <w:t xml:space="preserve"> учасником договору про закупівлю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у строк, установлений замовником під час проведення переговорів з учасником (учасниками) переговорної процедури закупівлі</w:t>
            </w:r>
            <w:bookmarkStart w:id="4" w:name="h.3znysh7" w:colFirst="0" w:colLast="0"/>
            <w:bookmarkEnd w:id="4"/>
            <w:r>
              <w:rPr>
                <w:lang w:val="uk-UA"/>
              </w:rPr>
              <w:t>.</w:t>
            </w:r>
          </w:p>
        </w:tc>
      </w:tr>
      <w:tr w:rsidR="00C30F96" w:rsidTr="00DF3182">
        <w:tc>
          <w:tcPr>
            <w:tcW w:w="14205" w:type="dxa"/>
            <w:gridSpan w:val="3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lang w:val="uk-UA"/>
              </w:rPr>
              <w:t>Скарги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Скарги стосовно вимог </w:t>
            </w:r>
            <w:r>
              <w:rPr>
                <w:lang w:val="uk-UA"/>
              </w:rPr>
              <w:t>д</w:t>
            </w:r>
            <w:r w:rsidRPr="00DF3182">
              <w:rPr>
                <w:lang w:val="uk-UA"/>
              </w:rPr>
              <w:t>окументації конкурсних торгів, цінової документації можуть подаватися не пізніше закінчення строку для розкриття.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Скарги, які стосуються документації конкурсних торгів (кваліфікаційної документації, запиту цінових пропозицій), прийнятих рішень, дії чи бездіяльності замовника, генерального замовника, які відбулися до закінчення строку</w:t>
            </w:r>
            <w:r>
              <w:rPr>
                <w:lang w:val="uk-UA"/>
              </w:rPr>
              <w:t>,</w:t>
            </w:r>
            <w:r w:rsidRPr="00DF3182">
              <w:rPr>
                <w:lang w:val="uk-UA"/>
              </w:rPr>
              <w:t xml:space="preserve"> встановленого для подання пропозицій конкурсних торгів (кваліфікаційних пропозицій), можуть подаватися (подаються) не пізніше ніж за </w:t>
            </w:r>
            <w:r w:rsidRPr="00DF3182">
              <w:rPr>
                <w:b/>
                <w:lang w:val="uk-UA"/>
              </w:rPr>
              <w:t>чотири дні</w:t>
            </w:r>
            <w:r w:rsidRPr="00DF3182">
              <w:rPr>
                <w:lang w:val="uk-UA"/>
              </w:rPr>
              <w:t xml:space="preserve"> до дати, встановленої для подання пропозицій конкурсних торгів (кваліфікаційних пропозицій), та не пізніше ніж за </w:t>
            </w:r>
            <w:r w:rsidRPr="00DF3182">
              <w:rPr>
                <w:b/>
                <w:lang w:val="uk-UA"/>
              </w:rPr>
              <w:t>три дні</w:t>
            </w:r>
            <w:r w:rsidRPr="00DF3182">
              <w:rPr>
                <w:lang w:val="uk-UA"/>
              </w:rPr>
              <w:t xml:space="preserve"> до дати, встановленої для подання цінових пропозицій.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НЕ ПОТРІБНО ПОДАВАТИ ОБ</w:t>
            </w:r>
            <w:r>
              <w:rPr>
                <w:lang w:val="uk-UA"/>
              </w:rPr>
              <w:t>Ґ</w:t>
            </w:r>
            <w:r w:rsidRPr="00DF3182">
              <w:rPr>
                <w:lang w:val="uk-UA"/>
              </w:rPr>
              <w:t>РУНТУВАННЯ.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При поданні скарги (стаття 18 Закону) треба буде подавати об</w:t>
            </w:r>
            <w:r>
              <w:rPr>
                <w:lang w:val="uk-UA"/>
              </w:rPr>
              <w:t>ґ</w:t>
            </w:r>
            <w:r w:rsidRPr="00DF3182">
              <w:rPr>
                <w:lang w:val="uk-UA"/>
              </w:rPr>
              <w:t xml:space="preserve">рунтування наявності порушених прав та охоронюваних </w:t>
            </w:r>
            <w:r>
              <w:rPr>
                <w:lang w:val="uk-UA"/>
              </w:rPr>
              <w:t>З</w:t>
            </w:r>
            <w:r w:rsidRPr="00DF3182">
              <w:rPr>
                <w:lang w:val="uk-UA"/>
              </w:rPr>
              <w:t xml:space="preserve">аконом інтересів з приводу рішення, дії чи бездіяльності замовника, генерального замовника, що суперечать законодавству у сфері державних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і внаслідок яких порушено право чи законні інтереси такої особи.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ТАКОГО ПОЛОЖЕННЯ НЕ БУЛО.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 xml:space="preserve">Якщо до документації конкурсних торгів (кваліфікаційної документації, запиту цінових пропозицій) замовником вносились зміни, </w:t>
            </w:r>
            <w:r w:rsidRPr="00DF3182">
              <w:rPr>
                <w:b/>
                <w:lang w:val="uk-UA"/>
              </w:rPr>
              <w:t>після закінчення строку</w:t>
            </w:r>
            <w:r w:rsidRPr="00DF3182">
              <w:rPr>
                <w:lang w:val="uk-UA"/>
              </w:rPr>
              <w:t xml:space="preserve">, встановленого для подання пропозицій конкурсних торгів (кваліфікаційних пропозицій, цінових пропозицій) в оголошенні про їх проведення, </w:t>
            </w:r>
            <w:r w:rsidRPr="00DF3182">
              <w:rPr>
                <w:b/>
                <w:lang w:val="uk-UA"/>
              </w:rPr>
              <w:t>не підлягають оскарженню положення документації, до яких зміни не вносилися.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ТАКОГО ПОЛОЖЕННЯ НЕ БУЛО.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Після закінчення строку, встановленого для подання пропозицій конкурсних торгів (кваліфікаційних пропозицій, цінових пропозицій) в оголошенні про їх проведення, скарги можуть подаватись лише щодо змін до документації, внесених замовником.</w:t>
            </w:r>
          </w:p>
        </w:tc>
      </w:tr>
      <w:tr w:rsidR="00C30F96" w:rsidTr="00DF3182">
        <w:trPr>
          <w:trHeight w:val="780"/>
        </w:trPr>
        <w:tc>
          <w:tcPr>
            <w:tcW w:w="14205" w:type="dxa"/>
            <w:gridSpan w:val="3"/>
            <w:shd w:val="clear" w:color="auto" w:fill="FFC000"/>
          </w:tcPr>
          <w:p w:rsidR="00C30F96" w:rsidRPr="00DF3182" w:rsidRDefault="00C30F96" w:rsidP="00DF3182">
            <w:pPr>
              <w:jc w:val="center"/>
              <w:rPr>
                <w:lang w:val="uk-UA"/>
              </w:rPr>
            </w:pPr>
          </w:p>
          <w:p w:rsidR="00C30F96" w:rsidRPr="00DF3182" w:rsidRDefault="00C30F96" w:rsidP="00DF3182">
            <w:pPr>
              <w:jc w:val="center"/>
              <w:rPr>
                <w:lang w:val="uk-UA"/>
              </w:rPr>
            </w:pPr>
            <w:r w:rsidRPr="00DF3182">
              <w:rPr>
                <w:b/>
                <w:i/>
                <w:lang w:val="uk-UA"/>
              </w:rPr>
              <w:t>ЗАКОН  ПРО ОСОБЛИВОСТІ ЗДІЙСНЕННЯ ЗАКУПІВЕЛЬ В ОКРЕМИХ СФЕРАХ ГОСПОДАРСЬКОЇ ДІЯЛЬНОСТІ</w:t>
            </w:r>
          </w:p>
        </w:tc>
      </w:tr>
      <w:tr w:rsidR="00C30F96" w:rsidTr="00DF3182">
        <w:trPr>
          <w:trHeight w:val="1400"/>
        </w:trPr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30F96" w:rsidRPr="00DF3182" w:rsidRDefault="00C30F96">
            <w:pPr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bookmarkStart w:id="5" w:name="h.2et92p0" w:colFirst="0" w:colLast="0"/>
            <w:bookmarkEnd w:id="5"/>
            <w:r w:rsidRPr="00DF3182">
              <w:rPr>
                <w:lang w:val="uk-UA"/>
              </w:rPr>
              <w:t xml:space="preserve">Сфера дії Закону «Про особливості здійснення </w:t>
            </w:r>
            <w:proofErr w:type="spellStart"/>
            <w:r w:rsidRPr="00DF3182">
              <w:rPr>
                <w:lang w:val="uk-UA"/>
              </w:rPr>
              <w:t>закупівель</w:t>
            </w:r>
            <w:proofErr w:type="spellEnd"/>
            <w:r w:rsidRPr="00DF3182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DF3182">
              <w:rPr>
                <w:lang w:val="uk-UA"/>
              </w:rPr>
              <w:t>в окремих сферах господарської діяльності» доповнили новою сферою:</w:t>
            </w:r>
          </w:p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b/>
                <w:lang w:val="uk-UA"/>
              </w:rPr>
              <w:t xml:space="preserve">Забезпечення виробництва, транспортування </w:t>
            </w:r>
            <w:r>
              <w:rPr>
                <w:b/>
                <w:lang w:val="uk-UA"/>
              </w:rPr>
              <w:br/>
            </w:r>
            <w:r w:rsidRPr="00DF3182">
              <w:rPr>
                <w:b/>
                <w:lang w:val="uk-UA"/>
              </w:rPr>
              <w:t>та постачання газу.</w:t>
            </w:r>
          </w:p>
        </w:tc>
      </w:tr>
      <w:tr w:rsidR="00C30F96" w:rsidTr="00DF3182">
        <w:tc>
          <w:tcPr>
            <w:tcW w:w="597" w:type="dxa"/>
          </w:tcPr>
          <w:p w:rsidR="00C30F96" w:rsidRDefault="00C30F96" w:rsidP="00DF318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НЕ БУЛО ТАКОЇ НОРМИ.</w:t>
            </w:r>
          </w:p>
        </w:tc>
        <w:tc>
          <w:tcPr>
            <w:tcW w:w="6804" w:type="dxa"/>
          </w:tcPr>
          <w:p w:rsidR="00C30F96" w:rsidRPr="00DF3182" w:rsidRDefault="00C30F96" w:rsidP="00DF3182">
            <w:pPr>
              <w:jc w:val="both"/>
              <w:rPr>
                <w:lang w:val="uk-UA"/>
              </w:rPr>
            </w:pPr>
            <w:r w:rsidRPr="00DF3182">
              <w:rPr>
                <w:lang w:val="uk-UA"/>
              </w:rPr>
              <w:t>Визначили, яка діяльність не вважається діяльністю у сферах, визначених в абзацах другому, третьому та четвертому  частини 1 статті 2.</w:t>
            </w:r>
          </w:p>
        </w:tc>
      </w:tr>
    </w:tbl>
    <w:p w:rsidR="00C30F96" w:rsidRPr="00067452" w:rsidRDefault="00C30F96">
      <w:pPr>
        <w:rPr>
          <w:lang w:val="uk-UA"/>
        </w:rPr>
      </w:pPr>
    </w:p>
    <w:sectPr w:rsidR="00C30F96" w:rsidRPr="00067452" w:rsidSect="00FC17B3">
      <w:pgSz w:w="16838" w:h="11906"/>
      <w:pgMar w:top="540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07D"/>
    <w:multiLevelType w:val="multilevel"/>
    <w:tmpl w:val="1F86A5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78774C1B"/>
    <w:multiLevelType w:val="multilevel"/>
    <w:tmpl w:val="D944B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C"/>
    <w:rsid w:val="00060D39"/>
    <w:rsid w:val="00067452"/>
    <w:rsid w:val="00152D9D"/>
    <w:rsid w:val="00175AA6"/>
    <w:rsid w:val="00332752"/>
    <w:rsid w:val="00370185"/>
    <w:rsid w:val="003A4E9F"/>
    <w:rsid w:val="003E6081"/>
    <w:rsid w:val="0047470D"/>
    <w:rsid w:val="004B63DE"/>
    <w:rsid w:val="005F075A"/>
    <w:rsid w:val="0065432C"/>
    <w:rsid w:val="0066461A"/>
    <w:rsid w:val="00720AD5"/>
    <w:rsid w:val="00767E6D"/>
    <w:rsid w:val="007724B8"/>
    <w:rsid w:val="00780CCD"/>
    <w:rsid w:val="007A7097"/>
    <w:rsid w:val="007C55AE"/>
    <w:rsid w:val="00862C86"/>
    <w:rsid w:val="008764FF"/>
    <w:rsid w:val="008D7715"/>
    <w:rsid w:val="009516F0"/>
    <w:rsid w:val="00A321C8"/>
    <w:rsid w:val="00B12D44"/>
    <w:rsid w:val="00B32D4E"/>
    <w:rsid w:val="00C270EB"/>
    <w:rsid w:val="00C30F96"/>
    <w:rsid w:val="00C56BC6"/>
    <w:rsid w:val="00CB1440"/>
    <w:rsid w:val="00D03B84"/>
    <w:rsid w:val="00D130A3"/>
    <w:rsid w:val="00D20AE3"/>
    <w:rsid w:val="00DC596B"/>
    <w:rsid w:val="00DF3182"/>
    <w:rsid w:val="00E17B2D"/>
    <w:rsid w:val="00EE6005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B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17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17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C17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7B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C17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C17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0D"/>
    <w:rPr>
      <w:rFonts w:ascii="Cambria" w:hAnsi="Cambria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470D"/>
    <w:rPr>
      <w:rFonts w:ascii="Cambria" w:hAnsi="Cambria" w:cs="Times New Roman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470D"/>
    <w:rPr>
      <w:rFonts w:ascii="Cambria" w:hAnsi="Cambria" w:cs="Times New Roman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470D"/>
    <w:rPr>
      <w:rFonts w:ascii="Calibri" w:hAnsi="Calibri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470D"/>
    <w:rPr>
      <w:rFonts w:ascii="Calibri" w:hAnsi="Calibri" w:cs="Times New Roman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470D"/>
    <w:rPr>
      <w:rFonts w:ascii="Calibri" w:hAnsi="Calibri" w:cs="Times New Roman"/>
      <w:b/>
      <w:bCs/>
      <w:color w:val="000000"/>
      <w:lang w:val="ru-RU" w:eastAsia="ru-RU"/>
    </w:rPr>
  </w:style>
  <w:style w:type="table" w:customStyle="1" w:styleId="TableNormal1">
    <w:name w:val="Table Normal1"/>
    <w:uiPriority w:val="99"/>
    <w:rsid w:val="00FC17B3"/>
    <w:rPr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C17B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47470D"/>
    <w:rPr>
      <w:rFonts w:ascii="Cambria" w:hAnsi="Cambria" w:cs="Times New Roman"/>
      <w:b/>
      <w:bCs/>
      <w:color w:val="000000"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FC17B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7470D"/>
    <w:rPr>
      <w:rFonts w:ascii="Cambria" w:hAnsi="Cambria" w:cs="Times New Roman"/>
      <w:color w:val="000000"/>
      <w:sz w:val="24"/>
      <w:szCs w:val="24"/>
      <w:lang w:val="ru-RU" w:eastAsia="ru-RU"/>
    </w:rPr>
  </w:style>
  <w:style w:type="table" w:customStyle="1" w:styleId="a7">
    <w:name w:val="Стиль"/>
    <w:basedOn w:val="TableNormal1"/>
    <w:uiPriority w:val="99"/>
    <w:rsid w:val="00FC17B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B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17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17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C17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7B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C17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C17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0D"/>
    <w:rPr>
      <w:rFonts w:ascii="Cambria" w:hAnsi="Cambria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470D"/>
    <w:rPr>
      <w:rFonts w:ascii="Cambria" w:hAnsi="Cambria" w:cs="Times New Roman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470D"/>
    <w:rPr>
      <w:rFonts w:ascii="Cambria" w:hAnsi="Cambria" w:cs="Times New Roman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470D"/>
    <w:rPr>
      <w:rFonts w:ascii="Calibri" w:hAnsi="Calibri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470D"/>
    <w:rPr>
      <w:rFonts w:ascii="Calibri" w:hAnsi="Calibri" w:cs="Times New Roman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470D"/>
    <w:rPr>
      <w:rFonts w:ascii="Calibri" w:hAnsi="Calibri" w:cs="Times New Roman"/>
      <w:b/>
      <w:bCs/>
      <w:color w:val="000000"/>
      <w:lang w:val="ru-RU" w:eastAsia="ru-RU"/>
    </w:rPr>
  </w:style>
  <w:style w:type="table" w:customStyle="1" w:styleId="TableNormal1">
    <w:name w:val="Table Normal1"/>
    <w:uiPriority w:val="99"/>
    <w:rsid w:val="00FC17B3"/>
    <w:rPr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C17B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47470D"/>
    <w:rPr>
      <w:rFonts w:ascii="Cambria" w:hAnsi="Cambria" w:cs="Times New Roman"/>
      <w:b/>
      <w:bCs/>
      <w:color w:val="000000"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FC17B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7470D"/>
    <w:rPr>
      <w:rFonts w:ascii="Cambria" w:hAnsi="Cambria" w:cs="Times New Roman"/>
      <w:color w:val="000000"/>
      <w:sz w:val="24"/>
      <w:szCs w:val="24"/>
      <w:lang w:val="ru-RU" w:eastAsia="ru-RU"/>
    </w:rPr>
  </w:style>
  <w:style w:type="table" w:customStyle="1" w:styleId="a7">
    <w:name w:val="Стиль"/>
    <w:basedOn w:val="TableNormal1"/>
    <w:uiPriority w:val="99"/>
    <w:rsid w:val="00FC17B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67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679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11270</Words>
  <Characters>6425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Snigireva</dc:creator>
  <cp:lastModifiedBy>305</cp:lastModifiedBy>
  <cp:revision>2</cp:revision>
  <cp:lastPrinted>2015-10-05T13:41:00Z</cp:lastPrinted>
  <dcterms:created xsi:type="dcterms:W3CDTF">2015-10-16T14:23:00Z</dcterms:created>
  <dcterms:modified xsi:type="dcterms:W3CDTF">2015-10-16T14:23:00Z</dcterms:modified>
</cp:coreProperties>
</file>